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Default="007F3FD2"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 04 февраля 2014 года № 244</w:t>
      </w:r>
      <w:bookmarkStart w:id="0" w:name="_GoBack"/>
      <w:bookmarkEnd w:id="0"/>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Pr>
          <w:rFonts w:ascii="Times New Roman" w:hAnsi="Times New Roman" w:cs="Times New Roman"/>
          <w:sz w:val="24"/>
          <w:szCs w:val="24"/>
        </w:rPr>
        <w:t>аренды нежилых помещений, являющихся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расположенных в здании по адресу: 628260 Тюменская область, Ханты-Мансийский автономный округ-Югра,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ул. Ленина, дом 29</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Default="00C12EE5"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2014</w:t>
      </w:r>
      <w:r w:rsidR="00DD75FE">
        <w:rPr>
          <w:rFonts w:ascii="Times New Roman" w:hAnsi="Times New Roman" w:cs="Times New Roman"/>
          <w:b/>
          <w:bCs/>
          <w:sz w:val="24"/>
          <w:szCs w:val="24"/>
        </w:rPr>
        <w:t xml:space="preserve"> год</w:t>
      </w:r>
    </w:p>
    <w:p w:rsidR="00572773" w:rsidRDefault="00572773" w:rsidP="009433DF">
      <w:pPr>
        <w:spacing w:line="240" w:lineRule="auto"/>
        <w:jc w:val="center"/>
        <w:rPr>
          <w:rFonts w:ascii="Times New Roman" w:hAnsi="Times New Roman" w:cs="Times New Roman"/>
          <w:b/>
          <w:bCs/>
          <w:sz w:val="24"/>
          <w:szCs w:val="24"/>
        </w:rPr>
      </w:pPr>
    </w:p>
    <w:p w:rsidR="00572773" w:rsidRDefault="00572773"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1" w:name="_Toc143500497"/>
      <w:bookmarkStart w:id="2" w:name="_Toc143017272"/>
      <w:r>
        <w:rPr>
          <w:rFonts w:ascii="Times New Roman" w:hAnsi="Times New Roman" w:cs="Times New Roman"/>
          <w:sz w:val="24"/>
          <w:szCs w:val="24"/>
        </w:rPr>
        <w:t xml:space="preserve">Сведения об </w:t>
      </w:r>
      <w:bookmarkEnd w:id="1"/>
      <w:bookmarkEnd w:id="2"/>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4031B" w:rsidRDefault="00DD75FE" w:rsidP="00C4031B">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4031B">
        <w:rPr>
          <w:rFonts w:ascii="Times New Roman" w:hAnsi="Times New Roman" w:cs="Times New Roman"/>
          <w:sz w:val="24"/>
          <w:szCs w:val="24"/>
        </w:rPr>
        <w:t>4675)-5-00-12, 5-00-10, 5-00-14,</w:t>
      </w:r>
      <w:r w:rsidR="00C4031B" w:rsidRPr="00C4031B">
        <w:rPr>
          <w:rFonts w:ascii="Times New Roman" w:hAnsi="Times New Roman" w:cs="Times New Roman"/>
          <w:sz w:val="24"/>
          <w:szCs w:val="24"/>
        </w:rPr>
        <w:t xml:space="preserve"> </w:t>
      </w:r>
      <w:r w:rsidR="00C4031B">
        <w:rPr>
          <w:rFonts w:ascii="Times New Roman" w:hAnsi="Times New Roman" w:cs="Times New Roman"/>
          <w:sz w:val="24"/>
          <w:szCs w:val="24"/>
          <w:lang w:val="en-US"/>
        </w:rPr>
        <w:t>e</w:t>
      </w:r>
      <w:r w:rsidR="00C4031B">
        <w:rPr>
          <w:rFonts w:ascii="Times New Roman" w:hAnsi="Times New Roman" w:cs="Times New Roman"/>
          <w:sz w:val="24"/>
          <w:szCs w:val="24"/>
        </w:rPr>
        <w:t>-</w:t>
      </w:r>
      <w:r w:rsidR="00C4031B">
        <w:rPr>
          <w:rFonts w:ascii="Times New Roman" w:hAnsi="Times New Roman" w:cs="Times New Roman"/>
          <w:sz w:val="24"/>
          <w:szCs w:val="24"/>
          <w:lang w:val="en-US"/>
        </w:rPr>
        <w:t>mail</w:t>
      </w:r>
      <w:r w:rsidR="00C4031B" w:rsidRPr="00C4031B">
        <w:rPr>
          <w:rFonts w:ascii="Times New Roman" w:hAnsi="Times New Roman" w:cs="Times New Roman"/>
          <w:sz w:val="24"/>
          <w:szCs w:val="24"/>
        </w:rPr>
        <w:t xml:space="preserve"> </w:t>
      </w:r>
      <w:proofErr w:type="spellStart"/>
      <w:r w:rsidR="00C4031B">
        <w:rPr>
          <w:rFonts w:ascii="Times New Roman" w:hAnsi="Times New Roman" w:cs="Times New Roman"/>
          <w:sz w:val="24"/>
          <w:szCs w:val="24"/>
          <w:lang w:val="en-US"/>
        </w:rPr>
        <w:t>dmsig</w:t>
      </w:r>
      <w:proofErr w:type="spellEnd"/>
      <w:r w:rsidR="00C4031B">
        <w:rPr>
          <w:rFonts w:ascii="Times New Roman" w:hAnsi="Times New Roman" w:cs="Times New Roman"/>
          <w:sz w:val="24"/>
          <w:szCs w:val="24"/>
        </w:rPr>
        <w:t>@</w:t>
      </w:r>
      <w:proofErr w:type="spellStart"/>
      <w:r w:rsidR="00C4031B">
        <w:rPr>
          <w:rFonts w:ascii="Times New Roman" w:hAnsi="Times New Roman" w:cs="Times New Roman"/>
          <w:sz w:val="24"/>
          <w:szCs w:val="24"/>
          <w:lang w:val="en-US"/>
        </w:rPr>
        <w:t>ugorsk</w:t>
      </w:r>
      <w:proofErr w:type="spellEnd"/>
      <w:r w:rsidR="00C4031B">
        <w:rPr>
          <w:rFonts w:ascii="Times New Roman" w:hAnsi="Times New Roman" w:cs="Times New Roman"/>
          <w:sz w:val="24"/>
          <w:szCs w:val="24"/>
        </w:rPr>
        <w:t>.</w:t>
      </w:r>
      <w:proofErr w:type="spellStart"/>
      <w:r w:rsidR="00C4031B">
        <w:rPr>
          <w:rFonts w:ascii="Times New Roman" w:hAnsi="Times New Roman" w:cs="Times New Roman"/>
          <w:sz w:val="24"/>
          <w:szCs w:val="24"/>
          <w:lang w:val="en-US"/>
        </w:rPr>
        <w:t>ru</w:t>
      </w:r>
      <w:proofErr w:type="spellEnd"/>
      <w:r w:rsidR="00C4031B">
        <w:rPr>
          <w:rFonts w:ascii="Times New Roman" w:hAnsi="Times New Roman" w:cs="Times New Roman"/>
          <w:sz w:val="24"/>
          <w:szCs w:val="24"/>
        </w:rPr>
        <w:t>.</w:t>
      </w:r>
    </w:p>
    <w:p w:rsidR="00DD75FE" w:rsidRDefault="00DD75FE" w:rsidP="00572773">
      <w:pPr>
        <w:pStyle w:val="ConsPlusNormal"/>
        <w:widowControl/>
        <w:ind w:right="282" w:firstLine="0"/>
        <w:rPr>
          <w:rFonts w:ascii="Times New Roman" w:hAnsi="Times New Roman" w:cs="Times New Roman"/>
          <w:sz w:val="24"/>
          <w:szCs w:val="24"/>
        </w:rPr>
      </w:pP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4186"/>
        <w:tblW w:w="9606" w:type="dxa"/>
        <w:tblLayout w:type="fixed"/>
        <w:tblLook w:val="01E0" w:firstRow="1" w:lastRow="1" w:firstColumn="1" w:lastColumn="1" w:noHBand="0" w:noVBand="0"/>
      </w:tblPr>
      <w:tblGrid>
        <w:gridCol w:w="709"/>
        <w:gridCol w:w="2659"/>
        <w:gridCol w:w="3119"/>
        <w:gridCol w:w="1559"/>
        <w:gridCol w:w="1560"/>
      </w:tblGrid>
      <w:tr w:rsidR="00DD75FE" w:rsidTr="00436B18">
        <w:tc>
          <w:tcPr>
            <w:tcW w:w="70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65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нежилых помещений</w:t>
            </w:r>
          </w:p>
        </w:tc>
        <w:tc>
          <w:tcPr>
            <w:tcW w:w="311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нежилых помещений</w:t>
            </w:r>
          </w:p>
        </w:tc>
        <w:tc>
          <w:tcPr>
            <w:tcW w:w="1559" w:type="dxa"/>
            <w:tcBorders>
              <w:top w:val="single" w:sz="4" w:space="0" w:color="auto"/>
              <w:left w:val="single" w:sz="4" w:space="0" w:color="auto"/>
              <w:bottom w:val="single" w:sz="4" w:space="0" w:color="auto"/>
              <w:right w:val="single" w:sz="4" w:space="0" w:color="auto"/>
            </w:tcBorders>
            <w:hideMark/>
          </w:tcPr>
          <w:p w:rsidR="00DD75FE" w:rsidRPr="009F15C3" w:rsidRDefault="009F15C3" w:rsidP="00DD75FE">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560" w:type="dxa"/>
            <w:tcBorders>
              <w:top w:val="single" w:sz="4" w:space="0" w:color="auto"/>
              <w:left w:val="single" w:sz="4" w:space="0" w:color="auto"/>
              <w:bottom w:val="single" w:sz="4" w:space="0" w:color="auto"/>
              <w:right w:val="single" w:sz="4" w:space="0" w:color="auto"/>
            </w:tcBorders>
          </w:tcPr>
          <w:p w:rsidR="00DD75FE" w:rsidRPr="009F15C3" w:rsidRDefault="00DD75FE" w:rsidP="00DD75FE">
            <w:pPr>
              <w:contextualSpacing/>
              <w:rPr>
                <w:bCs/>
                <w:position w:val="6"/>
                <w:sz w:val="24"/>
                <w:szCs w:val="24"/>
                <w:lang w:val="en-US" w:eastAsia="en-US"/>
              </w:rPr>
            </w:pPr>
            <w:r>
              <w:rPr>
                <w:bCs/>
                <w:position w:val="6"/>
                <w:sz w:val="24"/>
                <w:szCs w:val="24"/>
                <w:lang w:eastAsia="en-US"/>
              </w:rPr>
              <w:t>Назначение</w:t>
            </w:r>
          </w:p>
        </w:tc>
      </w:tr>
      <w:tr w:rsidR="00DD75FE" w:rsidTr="00436B18">
        <w:tc>
          <w:tcPr>
            <w:tcW w:w="709" w:type="dxa"/>
            <w:tcBorders>
              <w:top w:val="single" w:sz="4" w:space="0" w:color="auto"/>
              <w:left w:val="single" w:sz="4" w:space="0" w:color="auto"/>
              <w:bottom w:val="single" w:sz="4" w:space="0" w:color="auto"/>
              <w:right w:val="single" w:sz="4" w:space="0" w:color="auto"/>
            </w:tcBorders>
          </w:tcPr>
          <w:p w:rsidR="00DD75FE" w:rsidRDefault="00DD75FE" w:rsidP="00DD75FE">
            <w:pPr>
              <w:pStyle w:val="ConsPlusNormal"/>
              <w:widowControl/>
              <w:ind w:firstLine="0"/>
              <w:rPr>
                <w:rFonts w:ascii="Times New Roman" w:hAnsi="Times New Roman" w:cs="Times New Roman"/>
                <w:sz w:val="24"/>
                <w:szCs w:val="24"/>
                <w:lang w:eastAsia="en-US"/>
              </w:rPr>
            </w:pPr>
          </w:p>
          <w:p w:rsidR="00DD75FE" w:rsidRDefault="00DD75FE" w:rsidP="00DD75F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DD75FE" w:rsidRDefault="00DD75FE" w:rsidP="00DD75FE">
            <w:pPr>
              <w:keepNext/>
              <w:keepLines/>
              <w:suppressLineNumbers/>
              <w:suppressAutoHyphens/>
              <w:contextualSpacing/>
              <w:rPr>
                <w:spacing w:val="10"/>
                <w:sz w:val="24"/>
                <w:szCs w:val="24"/>
                <w:lang w:eastAsia="en-US"/>
              </w:rPr>
            </w:pPr>
            <w:r>
              <w:rPr>
                <w:spacing w:val="10"/>
                <w:sz w:val="24"/>
                <w:szCs w:val="24"/>
                <w:lang w:eastAsia="en-US"/>
              </w:rPr>
              <w:t>Ханты-Мансийский автон</w:t>
            </w:r>
            <w:r w:rsidR="00436B18">
              <w:rPr>
                <w:spacing w:val="10"/>
                <w:sz w:val="24"/>
                <w:szCs w:val="24"/>
                <w:lang w:eastAsia="en-US"/>
              </w:rPr>
              <w:t xml:space="preserve">омный округ-Югра, город </w:t>
            </w:r>
            <w:proofErr w:type="spellStart"/>
            <w:r w:rsidR="00436B18">
              <w:rPr>
                <w:spacing w:val="10"/>
                <w:sz w:val="24"/>
                <w:szCs w:val="24"/>
                <w:lang w:eastAsia="en-US"/>
              </w:rPr>
              <w:t>Югорск</w:t>
            </w:r>
            <w:proofErr w:type="spellEnd"/>
            <w:r w:rsidR="00436B18">
              <w:rPr>
                <w:spacing w:val="10"/>
                <w:sz w:val="24"/>
                <w:szCs w:val="24"/>
                <w:lang w:eastAsia="en-US"/>
              </w:rPr>
              <w:t>, улица</w:t>
            </w:r>
            <w:r w:rsidR="00436B18" w:rsidRPr="00436B18">
              <w:rPr>
                <w:spacing w:val="10"/>
                <w:sz w:val="24"/>
                <w:szCs w:val="24"/>
                <w:lang w:eastAsia="en-US"/>
              </w:rPr>
              <w:t xml:space="preserve"> </w:t>
            </w:r>
            <w:r>
              <w:rPr>
                <w:spacing w:val="10"/>
                <w:sz w:val="24"/>
                <w:szCs w:val="24"/>
                <w:lang w:eastAsia="en-US"/>
              </w:rPr>
              <w:t xml:space="preserve">Ленина, дом 29 </w:t>
            </w:r>
          </w:p>
        </w:tc>
        <w:tc>
          <w:tcPr>
            <w:tcW w:w="3119" w:type="dxa"/>
            <w:tcBorders>
              <w:top w:val="single" w:sz="4" w:space="0" w:color="auto"/>
              <w:left w:val="single" w:sz="4" w:space="0" w:color="auto"/>
              <w:bottom w:val="single" w:sz="4" w:space="0" w:color="auto"/>
              <w:right w:val="single" w:sz="4" w:space="0" w:color="auto"/>
            </w:tcBorders>
            <w:hideMark/>
          </w:tcPr>
          <w:p w:rsidR="00DD75FE" w:rsidRDefault="00DD75FE" w:rsidP="00DD75FE">
            <w:pPr>
              <w:keepNext/>
              <w:keepLines/>
              <w:suppressLineNumbers/>
              <w:suppressAutoHyphens/>
              <w:contextualSpacing/>
              <w:rPr>
                <w:spacing w:val="10"/>
                <w:sz w:val="24"/>
                <w:szCs w:val="24"/>
                <w:lang w:eastAsia="en-US"/>
              </w:rPr>
            </w:pPr>
            <w:r>
              <w:rPr>
                <w:spacing w:val="10"/>
                <w:sz w:val="24"/>
                <w:szCs w:val="24"/>
                <w:lang w:eastAsia="en-US"/>
              </w:rPr>
              <w:t>помещ</w:t>
            </w:r>
            <w:r w:rsidR="00436B18">
              <w:rPr>
                <w:spacing w:val="10"/>
                <w:sz w:val="24"/>
                <w:szCs w:val="24"/>
                <w:lang w:eastAsia="en-US"/>
              </w:rPr>
              <w:t>ения на первом этаже трехэтажного здания</w:t>
            </w:r>
            <w:r>
              <w:rPr>
                <w:sz w:val="24"/>
                <w:szCs w:val="24"/>
                <w:lang w:eastAsia="en-US"/>
              </w:rPr>
              <w:t xml:space="preserve"> </w:t>
            </w:r>
            <w:r>
              <w:rPr>
                <w:spacing w:val="10"/>
                <w:sz w:val="24"/>
                <w:szCs w:val="24"/>
                <w:lang w:eastAsia="en-US"/>
              </w:rPr>
              <w:t xml:space="preserve">общей площадью </w:t>
            </w:r>
            <w:r w:rsidR="00B40B53" w:rsidRPr="00B40B53">
              <w:rPr>
                <w:spacing w:val="10"/>
                <w:sz w:val="24"/>
                <w:szCs w:val="24"/>
                <w:lang w:eastAsia="en-US"/>
              </w:rPr>
              <w:t>202,7</w:t>
            </w:r>
            <w:r>
              <w:rPr>
                <w:spacing w:val="10"/>
                <w:sz w:val="24"/>
                <w:szCs w:val="24"/>
                <w:lang w:eastAsia="en-US"/>
              </w:rPr>
              <w:t xml:space="preserve"> кв.</w:t>
            </w:r>
            <w:r w:rsidR="009F15C3"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75FE" w:rsidRDefault="00DD75FE" w:rsidP="009F15C3">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1560" w:type="dxa"/>
            <w:tcBorders>
              <w:top w:val="single" w:sz="4" w:space="0" w:color="auto"/>
              <w:left w:val="single" w:sz="4" w:space="0" w:color="auto"/>
              <w:bottom w:val="single" w:sz="4" w:space="0" w:color="auto"/>
              <w:right w:val="single" w:sz="4" w:space="0" w:color="auto"/>
            </w:tcBorders>
            <w:hideMark/>
          </w:tcPr>
          <w:p w:rsidR="00DD75FE" w:rsidRDefault="00DD75FE" w:rsidP="00436B18">
            <w:pPr>
              <w:ind w:right="-108"/>
              <w:contextualSpacing/>
              <w:rPr>
                <w:sz w:val="24"/>
                <w:szCs w:val="24"/>
                <w:lang w:eastAsia="en-US"/>
              </w:rPr>
            </w:pPr>
            <w:r>
              <w:rPr>
                <w:sz w:val="24"/>
                <w:szCs w:val="24"/>
                <w:lang w:eastAsia="en-US"/>
              </w:rPr>
              <w:t>офис по предоставлению услуг связи</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Срок аренды помещений </w:t>
      </w:r>
      <w:r>
        <w:rPr>
          <w:rFonts w:ascii="Times New Roman" w:hAnsi="Times New Roman" w:cs="Times New Roman"/>
          <w:b/>
          <w:sz w:val="24"/>
          <w:szCs w:val="24"/>
        </w:rPr>
        <w:t xml:space="preserve">– </w:t>
      </w:r>
      <w:r>
        <w:rPr>
          <w:rFonts w:ascii="Times New Roman" w:hAnsi="Times New Roman" w:cs="Times New Roman"/>
          <w:sz w:val="24"/>
          <w:szCs w:val="24"/>
        </w:rPr>
        <w:t>пять лет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E250A2">
        <w:rPr>
          <w:rFonts w:ascii="Times New Roman" w:hAnsi="Times New Roman" w:cs="Times New Roman"/>
          <w:sz w:val="24"/>
          <w:szCs w:val="24"/>
        </w:rPr>
        <w:t xml:space="preserve">№ </w:t>
      </w:r>
      <w:r w:rsidR="00E250A2" w:rsidRPr="00E250A2">
        <w:rPr>
          <w:rFonts w:ascii="Times New Roman" w:hAnsi="Times New Roman" w:cs="Times New Roman"/>
          <w:sz w:val="24"/>
          <w:szCs w:val="24"/>
        </w:rPr>
        <w:t>Ю0114/03-Н</w:t>
      </w:r>
      <w:r w:rsidRPr="00E250A2">
        <w:rPr>
          <w:rFonts w:ascii="Times New Roman" w:hAnsi="Times New Roman" w:cs="Times New Roman"/>
          <w:sz w:val="24"/>
          <w:szCs w:val="24"/>
        </w:rPr>
        <w:t xml:space="preserve"> от </w:t>
      </w:r>
      <w:r w:rsidR="00E250A2" w:rsidRPr="00E250A2">
        <w:rPr>
          <w:rFonts w:ascii="Times New Roman" w:hAnsi="Times New Roman" w:cs="Times New Roman"/>
          <w:sz w:val="24"/>
          <w:szCs w:val="24"/>
        </w:rPr>
        <w:t>01.02</w:t>
      </w:r>
      <w:r w:rsidR="00063E36" w:rsidRPr="00E250A2">
        <w:rPr>
          <w:rFonts w:ascii="Times New Roman" w:hAnsi="Times New Roman" w:cs="Times New Roman"/>
          <w:sz w:val="24"/>
          <w:szCs w:val="24"/>
        </w:rPr>
        <w:t>.</w:t>
      </w:r>
      <w:r w:rsidR="00E250A2" w:rsidRPr="00E250A2">
        <w:rPr>
          <w:rFonts w:ascii="Times New Roman" w:hAnsi="Times New Roman" w:cs="Times New Roman"/>
          <w:sz w:val="24"/>
          <w:szCs w:val="24"/>
        </w:rPr>
        <w:t>2014</w:t>
      </w:r>
      <w:r w:rsidRPr="00E250A2">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Начальная цена  аренды помещений (цена лота) составляет </w:t>
      </w:r>
      <w:r w:rsidR="00E250A2" w:rsidRPr="00E250A2">
        <w:rPr>
          <w:rFonts w:ascii="Times New Roman" w:hAnsi="Times New Roman" w:cs="Times New Roman"/>
          <w:sz w:val="24"/>
          <w:szCs w:val="24"/>
        </w:rPr>
        <w:t>60</w:t>
      </w:r>
      <w:r w:rsidR="00063E36" w:rsidRPr="00E250A2">
        <w:rPr>
          <w:rFonts w:ascii="Times New Roman" w:hAnsi="Times New Roman" w:cs="Times New Roman"/>
          <w:sz w:val="24"/>
          <w:szCs w:val="24"/>
        </w:rPr>
        <w:t>000</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в месяц без </w:t>
      </w:r>
      <w:r w:rsidRPr="00DD75FE">
        <w:rPr>
          <w:rFonts w:ascii="Times New Roman" w:hAnsi="Times New Roman" w:cs="Times New Roman"/>
          <w:sz w:val="24"/>
          <w:szCs w:val="24"/>
        </w:rPr>
        <w:t>учета НДС.</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 Помещения на момент окончания срока договора аренды должны находиться в  состоянии, пригодном к эксплуатации  с учетом их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C12EE5">
        <w:rPr>
          <w:rFonts w:ascii="Times New Roman" w:hAnsi="Times New Roman" w:cs="Times New Roman"/>
          <w:b w:val="0"/>
        </w:rPr>
        <w:t>06 февраля</w:t>
      </w:r>
      <w:r w:rsidR="009A6A21">
        <w:rPr>
          <w:rFonts w:ascii="Times New Roman" w:hAnsi="Times New Roman" w:cs="Times New Roman"/>
          <w:b w:val="0"/>
        </w:rPr>
        <w:t xml:space="preserve"> </w:t>
      </w:r>
      <w:r w:rsidR="00C12EE5">
        <w:rPr>
          <w:rFonts w:ascii="Times New Roman" w:hAnsi="Times New Roman" w:cs="Times New Roman"/>
          <w:b w:val="0"/>
        </w:rPr>
        <w:t>2014</w:t>
      </w:r>
      <w:r>
        <w:rPr>
          <w:rFonts w:ascii="Times New Roman" w:hAnsi="Times New Roman" w:cs="Times New Roman"/>
          <w:b w:val="0"/>
        </w:rPr>
        <w:t xml:space="preserve"> года по </w:t>
      </w:r>
      <w:r w:rsidR="00BA3A86">
        <w:rPr>
          <w:rFonts w:ascii="Times New Roman" w:hAnsi="Times New Roman" w:cs="Times New Roman"/>
          <w:b w:val="0"/>
        </w:rPr>
        <w:t>26</w:t>
      </w:r>
      <w:r w:rsidR="00611471" w:rsidRPr="00611471">
        <w:rPr>
          <w:rFonts w:ascii="Times New Roman" w:hAnsi="Times New Roman" w:cs="Times New Roman"/>
          <w:b w:val="0"/>
        </w:rPr>
        <w:t xml:space="preserve"> </w:t>
      </w:r>
      <w:r w:rsidR="00BA3A86">
        <w:rPr>
          <w:rFonts w:ascii="Times New Roman" w:hAnsi="Times New Roman" w:cs="Times New Roman"/>
          <w:b w:val="0"/>
        </w:rPr>
        <w:t>февраля</w:t>
      </w:r>
      <w:r w:rsidR="00611471">
        <w:rPr>
          <w:rFonts w:ascii="Times New Roman" w:hAnsi="Times New Roman" w:cs="Times New Roman"/>
          <w:b w:val="0"/>
        </w:rPr>
        <w:t xml:space="preserve"> </w:t>
      </w:r>
      <w:r w:rsidR="00BA3A86">
        <w:rPr>
          <w:rFonts w:ascii="Times New Roman" w:hAnsi="Times New Roman" w:cs="Times New Roman"/>
          <w:b w:val="0"/>
        </w:rPr>
        <w:t>2014</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BA3A86">
        <w:rPr>
          <w:rFonts w:ascii="Times New Roman" w:hAnsi="Times New Roman" w:cs="Times New Roman"/>
          <w:sz w:val="24"/>
          <w:szCs w:val="24"/>
        </w:rPr>
        <w:t>26 февраля 2014</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BA3A86">
        <w:rPr>
          <w:rFonts w:ascii="Times New Roman" w:hAnsi="Times New Roman" w:cs="Times New Roman"/>
          <w:sz w:val="24"/>
          <w:szCs w:val="24"/>
        </w:rPr>
        <w:t>26 февраля</w:t>
      </w:r>
      <w:r w:rsidR="00611471">
        <w:rPr>
          <w:rFonts w:ascii="Times New Roman" w:hAnsi="Times New Roman" w:cs="Times New Roman"/>
          <w:sz w:val="24"/>
          <w:szCs w:val="24"/>
        </w:rPr>
        <w:t xml:space="preserve"> </w:t>
      </w:r>
      <w:r w:rsidR="00BA3A86">
        <w:rPr>
          <w:rFonts w:ascii="Times New Roman" w:hAnsi="Times New Roman" w:cs="Times New Roman"/>
          <w:sz w:val="24"/>
          <w:szCs w:val="24"/>
        </w:rPr>
        <w:t>2014</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E250A2" w:rsidRPr="00E250A2">
        <w:rPr>
          <w:rFonts w:ascii="Times New Roman" w:hAnsi="Times New Roman" w:cs="Times New Roman"/>
          <w:sz w:val="24"/>
          <w:szCs w:val="24"/>
        </w:rPr>
        <w:t>30</w:t>
      </w:r>
      <w:r w:rsidR="00611471" w:rsidRPr="00E250A2">
        <w:rPr>
          <w:rFonts w:ascii="Times New Roman" w:hAnsi="Times New Roman" w:cs="Times New Roman"/>
          <w:sz w:val="24"/>
          <w:szCs w:val="24"/>
        </w:rPr>
        <w:t>00</w:t>
      </w:r>
      <w:r w:rsidRPr="00FF6323">
        <w:rPr>
          <w:rFonts w:ascii="Times New Roman" w:hAnsi="Times New Roman" w:cs="Times New Roman"/>
          <w:b/>
          <w:sz w:val="24"/>
          <w:szCs w:val="24"/>
        </w:rPr>
        <w:t xml:space="preserve"> </w:t>
      </w:r>
      <w:r>
        <w:rPr>
          <w:rFonts w:ascii="Times New Roman" w:hAnsi="Times New Roman" w:cs="Times New Roman"/>
          <w:sz w:val="24"/>
          <w:szCs w:val="24"/>
        </w:rPr>
        <w:t>рублей 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будет производиться </w:t>
      </w:r>
      <w:r w:rsidR="00BA3A86">
        <w:rPr>
          <w:rFonts w:ascii="Times New Roman" w:hAnsi="Times New Roman" w:cs="Times New Roman"/>
          <w:sz w:val="24"/>
          <w:szCs w:val="24"/>
        </w:rPr>
        <w:t>26 февраля</w:t>
      </w:r>
      <w:r w:rsidR="00611471">
        <w:rPr>
          <w:rFonts w:ascii="Times New Roman" w:hAnsi="Times New Roman" w:cs="Times New Roman"/>
          <w:sz w:val="24"/>
          <w:szCs w:val="24"/>
        </w:rPr>
        <w:t xml:space="preserve"> </w:t>
      </w:r>
      <w:r w:rsidR="00BA3A86">
        <w:rPr>
          <w:rFonts w:ascii="Times New Roman" w:hAnsi="Times New Roman" w:cs="Times New Roman"/>
          <w:sz w:val="24"/>
          <w:szCs w:val="24"/>
        </w:rPr>
        <w:t>2014</w:t>
      </w:r>
      <w:r>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w:t>
      </w:r>
      <w:r w:rsidR="00572773">
        <w:rPr>
          <w:rFonts w:ascii="Times New Roman" w:hAnsi="Times New Roman" w:cs="Times New Roman"/>
          <w:b/>
          <w:sz w:val="24"/>
          <w:szCs w:val="24"/>
        </w:rPr>
        <w:t xml:space="preserve"> </w:t>
      </w:r>
      <w:r>
        <w:rPr>
          <w:rFonts w:ascii="Times New Roman" w:hAnsi="Times New Roman" w:cs="Times New Roman"/>
          <w:b/>
          <w:sz w:val="24"/>
          <w:szCs w:val="24"/>
        </w:rPr>
        <w:t>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BA3A86">
        <w:rPr>
          <w:rFonts w:ascii="Times New Roman" w:hAnsi="Times New Roman" w:cs="Times New Roman"/>
          <w:sz w:val="24"/>
          <w:szCs w:val="24"/>
        </w:rPr>
        <w:t>28 февраля</w:t>
      </w:r>
      <w:r w:rsidR="00611471">
        <w:rPr>
          <w:rFonts w:ascii="Times New Roman" w:hAnsi="Times New Roman" w:cs="Times New Roman"/>
          <w:sz w:val="24"/>
          <w:szCs w:val="24"/>
        </w:rPr>
        <w:t xml:space="preserve"> </w:t>
      </w:r>
      <w:r w:rsidR="00BA3A86">
        <w:rPr>
          <w:rFonts w:ascii="Times New Roman" w:hAnsi="Times New Roman" w:cs="Times New Roman"/>
          <w:sz w:val="24"/>
          <w:szCs w:val="24"/>
        </w:rPr>
        <w:t>2014</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572773" w:rsidRPr="00C4031B" w:rsidRDefault="00DD75FE" w:rsidP="00572773">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572773" w:rsidRDefault="00572773" w:rsidP="00572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572773" w:rsidRDefault="00572773" w:rsidP="005727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договора аренды. </w:t>
      </w:r>
    </w:p>
    <w:p w:rsidR="00572773" w:rsidRDefault="00572773" w:rsidP="00572773">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(приложение 2) должен быть подписан 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572773" w:rsidRDefault="00572773" w:rsidP="00572773">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C4031B" w:rsidRDefault="00572773" w:rsidP="00572773">
      <w:pPr>
        <w:spacing w:after="0" w:line="240" w:lineRule="auto"/>
        <w:rPr>
          <w:rFonts w:ascii="Times New Roman" w:hAnsi="Times New Roman" w:cs="Times New Roman"/>
          <w:sz w:val="24"/>
          <w:szCs w:val="24"/>
        </w:rPr>
      </w:pPr>
      <w:r>
        <w:rPr>
          <w:rFonts w:ascii="Times New Roman" w:hAnsi="Times New Roman" w:cs="Times New Roman"/>
          <w:sz w:val="24"/>
          <w:szCs w:val="24"/>
        </w:rPr>
        <w:t>Осмотр имущества, которое  передается по договору, организатор аукциона проводит без взимания платы. Проведение такого осмотра осуществляется 07 февр</w:t>
      </w:r>
      <w:r w:rsidR="00C4031B">
        <w:rPr>
          <w:rFonts w:ascii="Times New Roman" w:hAnsi="Times New Roman" w:cs="Times New Roman"/>
          <w:sz w:val="24"/>
          <w:szCs w:val="24"/>
        </w:rPr>
        <w:t xml:space="preserve">аля 2014 года, </w:t>
      </w:r>
    </w:p>
    <w:p w:rsidR="00572773" w:rsidRDefault="00572773" w:rsidP="00572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февраля 2014 года, 19 февраля 2014 года с 15.00 часов 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w:t>
      </w:r>
      <w:r>
        <w:rPr>
          <w:rFonts w:ascii="Times New Roman" w:hAnsi="Times New Roman" w:cs="Times New Roman"/>
          <w:sz w:val="24"/>
          <w:szCs w:val="24"/>
        </w:rPr>
        <w:lastRenderedPageBreak/>
        <w:t xml:space="preserve">адресу: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572773" w:rsidRDefault="00572773" w:rsidP="005727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572773" w:rsidRDefault="00572773" w:rsidP="00572773">
      <w:pPr>
        <w:spacing w:after="0"/>
        <w:rPr>
          <w:rFonts w:ascii="Times New Roman" w:hAnsi="Times New Roman" w:cs="Times New Roman"/>
          <w:sz w:val="24"/>
          <w:szCs w:val="24"/>
        </w:rPr>
      </w:pPr>
      <w:r>
        <w:rPr>
          <w:rFonts w:ascii="Times New Roman" w:hAnsi="Times New Roman" w:cs="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572773" w:rsidRDefault="00572773" w:rsidP="00572773">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72773" w:rsidRDefault="00572773" w:rsidP="00572773"/>
    <w:p w:rsidR="00572773" w:rsidRDefault="00572773" w:rsidP="00572773"/>
    <w:p w:rsidR="00572773" w:rsidRDefault="00572773" w:rsidP="00572773"/>
    <w:p w:rsidR="00DD75FE" w:rsidRDefault="00DD75FE" w:rsidP="00DD75FE">
      <w:pPr>
        <w:spacing w:after="0" w:line="240" w:lineRule="auto"/>
        <w:rPr>
          <w:rFonts w:ascii="Times New Roman" w:hAnsi="Times New Roman" w:cs="Times New Roman"/>
          <w:b/>
          <w:sz w:val="24"/>
          <w:szCs w:val="24"/>
        </w:rPr>
      </w:pP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611471" w:rsidRDefault="00611471" w:rsidP="00DD75FE"/>
    <w:p w:rsidR="009433DF" w:rsidRDefault="009433DF" w:rsidP="00DD75FE"/>
    <w:p w:rsidR="009433DF" w:rsidRDefault="009433DF" w:rsidP="00DD75FE"/>
    <w:p w:rsidR="009433DF" w:rsidRDefault="009433DF" w:rsidP="00DD75FE"/>
    <w:p w:rsidR="009433DF" w:rsidRDefault="009433DF" w:rsidP="00DD75FE"/>
    <w:p w:rsidR="00D55B1C" w:rsidRDefault="00D55B1C" w:rsidP="00DD75FE"/>
    <w:p w:rsidR="009433DF" w:rsidRPr="004B7337" w:rsidRDefault="009433DF" w:rsidP="00DD75FE"/>
    <w:p w:rsidR="004B7337" w:rsidRPr="004B7337" w:rsidRDefault="004B7337"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Default="00DD75FE" w:rsidP="00DD75FE">
      <w:pPr>
        <w:ind w:left="-284" w:right="-165"/>
        <w:contextualSpacing/>
        <w:rPr>
          <w:rFonts w:ascii="Times New Roman" w:hAnsi="Times New Roman" w:cs="Times New Roman"/>
          <w:b/>
          <w:i/>
          <w:sz w:val="24"/>
          <w:szCs w:val="24"/>
        </w:rPr>
      </w:pPr>
    </w:p>
    <w:p w:rsidR="009433DF" w:rsidRPr="00E250A2" w:rsidRDefault="009433DF" w:rsidP="00DD75FE">
      <w:pPr>
        <w:ind w:left="-284" w:right="-165"/>
        <w:contextualSpacing/>
        <w:rPr>
          <w:rFonts w:ascii="Times New Roman" w:hAnsi="Times New Roman" w:cs="Times New Roman"/>
          <w:b/>
          <w:i/>
          <w:sz w:val="24"/>
          <w:szCs w:val="24"/>
        </w:rPr>
      </w:pPr>
    </w:p>
    <w:p w:rsidR="004B7337" w:rsidRPr="00E250A2" w:rsidRDefault="004B7337" w:rsidP="00DD75FE">
      <w:pPr>
        <w:ind w:left="-284" w:right="-165"/>
        <w:contextualSpacing/>
        <w:rPr>
          <w:rFonts w:ascii="Times New Roman" w:hAnsi="Times New Roman" w:cs="Times New Roman"/>
          <w:b/>
          <w:i/>
          <w:sz w:val="24"/>
          <w:szCs w:val="24"/>
        </w:rPr>
      </w:pPr>
    </w:p>
    <w:p w:rsidR="004B7337" w:rsidRPr="00E250A2" w:rsidRDefault="004B7337" w:rsidP="00DD75FE">
      <w:pPr>
        <w:ind w:left="-284" w:right="-165"/>
        <w:contextualSpacing/>
        <w:rPr>
          <w:rFonts w:ascii="Times New Roman" w:hAnsi="Times New Roman" w:cs="Times New Roman"/>
          <w:b/>
          <w:i/>
          <w:sz w:val="24"/>
          <w:szCs w:val="24"/>
        </w:rPr>
      </w:pPr>
    </w:p>
    <w:p w:rsidR="004B7337" w:rsidRPr="00E250A2" w:rsidRDefault="004B7337"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9851B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3E36"/>
    <w:rsid w:val="001A1A84"/>
    <w:rsid w:val="001C2172"/>
    <w:rsid w:val="00375D0B"/>
    <w:rsid w:val="003B36DA"/>
    <w:rsid w:val="00436B18"/>
    <w:rsid w:val="004B7337"/>
    <w:rsid w:val="004F29BC"/>
    <w:rsid w:val="0054300F"/>
    <w:rsid w:val="00572773"/>
    <w:rsid w:val="00611471"/>
    <w:rsid w:val="00692F92"/>
    <w:rsid w:val="007F3FD2"/>
    <w:rsid w:val="009433DF"/>
    <w:rsid w:val="009851B6"/>
    <w:rsid w:val="009A6A21"/>
    <w:rsid w:val="009F15C3"/>
    <w:rsid w:val="00B40B53"/>
    <w:rsid w:val="00BA3A86"/>
    <w:rsid w:val="00C12EE5"/>
    <w:rsid w:val="00C37F3D"/>
    <w:rsid w:val="00C4031B"/>
    <w:rsid w:val="00D55B1C"/>
    <w:rsid w:val="00DD75FE"/>
    <w:rsid w:val="00E250A2"/>
    <w:rsid w:val="00E36DAF"/>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1057">
      <w:bodyDiv w:val="1"/>
      <w:marLeft w:val="0"/>
      <w:marRight w:val="0"/>
      <w:marTop w:val="0"/>
      <w:marBottom w:val="0"/>
      <w:divBdr>
        <w:top w:val="none" w:sz="0" w:space="0" w:color="auto"/>
        <w:left w:val="none" w:sz="0" w:space="0" w:color="auto"/>
        <w:bottom w:val="none" w:sz="0" w:space="0" w:color="auto"/>
        <w:right w:val="none" w:sz="0" w:space="0" w:color="auto"/>
      </w:divBdr>
    </w:div>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4317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1205-9121-4A1A-93D9-377336F8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16</cp:revision>
  <cp:lastPrinted>2014-02-03T04:14:00Z</cp:lastPrinted>
  <dcterms:created xsi:type="dcterms:W3CDTF">2012-05-22T06:13:00Z</dcterms:created>
  <dcterms:modified xsi:type="dcterms:W3CDTF">2014-02-05T04:10:00Z</dcterms:modified>
</cp:coreProperties>
</file>